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napojów funkcjonalnych rośnie w rekordowym tempie 28 proc. rocznie. Niemal co 2. Zetka deklaruje chęć wyboru produktów o lepszym składzie</w:t>
      </w:r>
    </w:p>
    <w:p>
      <w:pPr>
        <w:spacing w:before="0" w:after="500" w:line="264" w:lineRule="auto"/>
      </w:pPr>
      <w:r>
        <w:rPr>
          <w:rFonts w:ascii="calibri" w:hAnsi="calibri" w:eastAsia="calibri" w:cs="calibri"/>
          <w:sz w:val="36"/>
          <w:szCs w:val="36"/>
          <w:b/>
        </w:rPr>
        <w:t xml:space="preserve">Funkcjonalność staje się kluczowym motorem wzrostu europejskiego rynku napojów, który przyspiesza wraz ze zmianą oczekiwań konsumentów. Niemal połowa przedstawicieli pokolenia Z deklaruje wybór produktów o lepszym składzie, a 73 proc. europejskich konsumentów preferuje ekologiczne opakowania i metody produkcji. W tym kontekście szczególnie wyróżnia się struktura rynku wód funkcjonalnych, w którym dominują produkty smakowe, stanowiące ok. 72 proc.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Segment funkcjonalny wyrasta na główny motor wzrostu europejskiego rynku napojów. Choć 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MarkWide Research cały rynek utrzymuje stabilny wzrost na poziomie ok. 4,2 proc. rocznie (CAGR - skumulowany roczny wskaźnik wzrostu), to jego największa dynamika wyraźnie przesuwa się w stronę napojów funkcjonalnych. To właśnie </w:t>
      </w:r>
      <w:r>
        <w:rPr>
          <w:rFonts w:ascii="calibri" w:hAnsi="calibri" w:eastAsia="calibri" w:cs="calibri"/>
          <w:sz w:val="24"/>
          <w:szCs w:val="24"/>
          <w:b/>
        </w:rPr>
        <w:t xml:space="preserve">kategoria produktów wykraczających poza podstawowe nawodnienie - wspierających koncentrację, energię czy regenerację rośnie dziś najszybciej, notując nawet do 28 proc. wzrostu rocznie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Wartość rynku wody funkcjonalnej wzrośnie do niemal 7 mld zł w ciągu 5 lat</w:t>
      </w:r>
    </w:p>
    <w:p>
      <w:r>
        <w:rPr>
          <w:rFonts w:ascii="calibri" w:hAnsi="calibri" w:eastAsia="calibri" w:cs="calibri"/>
          <w:sz w:val="24"/>
          <w:szCs w:val="24"/>
        </w:rPr>
        <w:t xml:space="preserve">Na tym tle szczególnie szybko rozwija się segment </w:t>
      </w:r>
      <w:hyperlink r:id="rId8" w:history="1">
        <w:r>
          <w:rPr>
            <w:rFonts w:ascii="calibri" w:hAnsi="calibri" w:eastAsia="calibri" w:cs="calibri"/>
            <w:color w:val="0000FF"/>
            <w:sz w:val="24"/>
            <w:szCs w:val="24"/>
            <w:u w:val="single"/>
          </w:rPr>
          <w:t xml:space="preserve">wody funkcjonalnej</w:t>
        </w:r>
      </w:hyperlink>
      <w:r>
        <w:rPr>
          <w:rFonts w:ascii="calibri" w:hAnsi="calibri" w:eastAsia="calibri" w:cs="calibri"/>
          <w:sz w:val="24"/>
          <w:szCs w:val="24"/>
        </w:rPr>
        <w:t xml:space="preserve">, którego wartość ma wzrosnąć z </w:t>
      </w:r>
      <w:r>
        <w:rPr>
          <w:rFonts w:ascii="calibri" w:hAnsi="calibri" w:eastAsia="calibri" w:cs="calibri"/>
          <w:sz w:val="24"/>
          <w:szCs w:val="24"/>
          <w:b/>
        </w:rPr>
        <w:t xml:space="preserve">1,48 mld USD (ok. 5 mld zł*) w 2026 roku do 1,99 mld USD (ok. 7 mld zł) w 2031 roku (CAGR 6,05 proc.)</w:t>
      </w:r>
      <w:r>
        <w:rPr>
          <w:rFonts w:ascii="calibri" w:hAnsi="calibri" w:eastAsia="calibri" w:cs="calibri"/>
          <w:sz w:val="24"/>
          <w:szCs w:val="24"/>
        </w:rPr>
        <w:t xml:space="preserve"> według danych zebranych przez Mordor Intelligence. Głównym czynnikiem napędzającym ten trend jest rosnąca świadomość zdrowotna konsumentów, którzy coraz częściej wybierają produkty wspierające kontrolę masy ciała, odporność czy koncentrację, przy jednoczesnym nacisku na naturalne składniki i tzw. czyste etykiety. Na zmianę zachowań konsumenckich wpływają przede wszystkim </w:t>
      </w:r>
      <w:hyperlink r:id="rId8" w:history="1">
        <w:r>
          <w:rPr>
            <w:rFonts w:ascii="calibri" w:hAnsi="calibri" w:eastAsia="calibri" w:cs="calibri"/>
            <w:color w:val="0000FF"/>
            <w:sz w:val="24"/>
            <w:szCs w:val="24"/>
            <w:u w:val="single"/>
          </w:rPr>
          <w:t xml:space="preserve">Millenialsi</w:t>
        </w:r>
      </w:hyperlink>
      <w:r>
        <w:rPr>
          <w:rFonts w:ascii="calibri" w:hAnsi="calibri" w:eastAsia="calibri" w:cs="calibri"/>
          <w:sz w:val="24"/>
          <w:szCs w:val="24"/>
        </w:rPr>
        <w:t xml:space="preserve"> i przedstawiciele pokolenia Z, którzy przyspieszają popyt na zdrowsze alternatywy. </w:t>
      </w:r>
      <w:r>
        <w:rPr>
          <w:rFonts w:ascii="calibri" w:hAnsi="calibri" w:eastAsia="calibri" w:cs="calibri"/>
          <w:sz w:val="24"/>
          <w:szCs w:val="24"/>
          <w:b/>
        </w:rPr>
        <w:t xml:space="preserve">W przypadku wód funkcjonalnych aż 45 proc. przedstawicieli pokolenia Z deklaruje chęć wyboru produktów o lepszym składzie </w:t>
      </w:r>
      <w:r>
        <w:rPr>
          <w:rFonts w:ascii="calibri" w:hAnsi="calibri" w:eastAsia="calibri" w:cs="calibri"/>
          <w:sz w:val="24"/>
          <w:szCs w:val="24"/>
        </w:rPr>
        <w:t xml:space="preserve">(wzrost o 7 proc. rok do roku). </w:t>
      </w:r>
    </w:p>
    <w:p>
      <w:pPr>
        <w:spacing w:before="0" w:after="300"/>
      </w:pPr>
      <w:r>
        <w:rPr>
          <w:rFonts w:ascii="calibri" w:hAnsi="calibri" w:eastAsia="calibri" w:cs="calibri"/>
          <w:sz w:val="24"/>
          <w:szCs w:val="24"/>
          <w:b/>
        </w:rPr>
        <w:t xml:space="preserve">Niemal 20 proc. rynku stanowią wody wzbogacone witaminami</w:t>
      </w:r>
    </w:p>
    <w:p>
      <w:r>
        <w:rPr>
          <w:rFonts w:ascii="calibri" w:hAnsi="calibri" w:eastAsia="calibri" w:cs="calibri"/>
          <w:sz w:val="24"/>
          <w:szCs w:val="24"/>
        </w:rPr>
        <w:t xml:space="preserve">Struktura europejskiego rynku wód funkcjonalnych wyraźnie pokazuje dominację produktów smakowych - w 2025 roku odpowiadały one za </w:t>
      </w:r>
      <w:hyperlink r:id="rId8" w:history="1">
        <w:r>
          <w:rPr>
            <w:rFonts w:ascii="calibri" w:hAnsi="calibri" w:eastAsia="calibri" w:cs="calibri"/>
            <w:color w:val="0000FF"/>
            <w:sz w:val="24"/>
            <w:szCs w:val="24"/>
            <w:u w:val="single"/>
          </w:rPr>
          <w:t xml:space="preserve">71,91 proc.</w:t>
        </w:r>
      </w:hyperlink>
      <w:r>
        <w:rPr>
          <w:rFonts w:ascii="calibri" w:hAnsi="calibri" w:eastAsia="calibri" w:cs="calibri"/>
          <w:sz w:val="24"/>
          <w:szCs w:val="24"/>
        </w:rPr>
        <w:t xml:space="preserve"> całej kategorii, co wynika z rosnącego znaczenia walorów smakowych i potrzeby różnorodności wśród konsumentów. Istotny udział mają również </w:t>
      </w:r>
      <w:r>
        <w:rPr>
          <w:rFonts w:ascii="calibri" w:hAnsi="calibri" w:eastAsia="calibri" w:cs="calibri"/>
          <w:sz w:val="24"/>
          <w:szCs w:val="24"/>
          <w:b/>
        </w:rPr>
        <w:t xml:space="preserve">wody zawierające witaminy, które stanowiły 19,34 proc. rynku</w:t>
      </w:r>
      <w:r>
        <w:rPr>
          <w:rFonts w:ascii="calibri" w:hAnsi="calibri" w:eastAsia="calibri" w:cs="calibri"/>
          <w:sz w:val="24"/>
          <w:szCs w:val="24"/>
        </w:rPr>
        <w:t xml:space="preserve">. Jednocześnie najszybszy rozwój prognozowany jest w segmencie produktów elektrolitowych i mineralnych - do 2031 roku ich skumulowany roczny wskaźnik wzrostu ma wynieść 8,58 proc. Preferencje smakowe konsumentów potwierdzają również dane z regionu Europy Środkowo-Wschodniej. Jak wynika z badania** przeprowadzonego wśród klientów marki Waterdrop </w:t>
      </w:r>
      <w:r>
        <w:rPr>
          <w:rFonts w:ascii="calibri" w:hAnsi="calibri" w:eastAsia="calibri" w:cs="calibri"/>
          <w:sz w:val="24"/>
          <w:szCs w:val="24"/>
          <w:b/>
        </w:rPr>
        <w:t xml:space="preserve">większość respondentów wybiera smaki cytrusowe: w Polsce 64 proc. ankietowanych</w:t>
      </w:r>
      <w:r>
        <w:rPr>
          <w:rFonts w:ascii="calibri" w:hAnsi="calibri" w:eastAsia="calibri" w:cs="calibri"/>
          <w:sz w:val="24"/>
          <w:szCs w:val="24"/>
        </w:rPr>
        <w:t xml:space="preserve">, na Słowacji i Węgrzech po 68 proc., w Czechach 57 proc., a w Rumunii 56 proc. W odpowiedzi na te trendy do oferty marki Waterdrop dołącza nowy wariant Microlyte - </w:t>
      </w:r>
      <w:hyperlink r:id="rId9" w:history="1">
        <w:r>
          <w:rPr>
            <w:rFonts w:ascii="calibri" w:hAnsi="calibri" w:eastAsia="calibri" w:cs="calibri"/>
            <w:color w:val="0000FF"/>
            <w:sz w:val="24"/>
            <w:szCs w:val="24"/>
            <w:u w:val="single"/>
          </w:rPr>
          <w:t xml:space="preserve">Orange Recharge</w:t>
        </w:r>
      </w:hyperlink>
      <w:r>
        <w:rPr>
          <w:rFonts w:ascii="calibri" w:hAnsi="calibri" w:eastAsia="calibri" w:cs="calibri"/>
          <w:sz w:val="24"/>
          <w:szCs w:val="24"/>
        </w:rPr>
        <w:t xml:space="preserve">, napój o smaku pomarańczy zawierający 4 elektrolity, 6 witamin oraz cynk, wspierający efektywne nawodnienie organizmu.</w:t>
      </w:r>
    </w:p>
    <w:p>
      <w:pPr>
        <w:spacing w:before="0" w:after="300"/>
      </w:pPr>
      <w:r>
        <w:rPr>
          <w:rFonts w:ascii="calibri" w:hAnsi="calibri" w:eastAsia="calibri" w:cs="calibri"/>
          <w:sz w:val="24"/>
          <w:szCs w:val="24"/>
          <w:i/>
          <w:iCs/>
        </w:rPr>
        <w:t xml:space="preserve">Zmiany na rynku napojów pokazują, że konsumenci coraz częściej podejmują świadome decyzje zakupowe i oczekują od produktów czegoś więcej niż tylko nawodnienia. To przesunięcie w stronę funkcjonalności wskazuje, jak ważne staje się łączenie dobrego smaku z realnym wsparciem codziennych potrzeb, takich jak energia czy regeneracja. Widzimy, że rośnie także znaczenie przemyślanych składów oraz formatów dopasowanych do dynamicznego stylu życia. W Waterdrop konsekwentnie rozwijamy ofertę w tym kierunku, by odpowiadać na potrzeby nowoczesnych konsumentów </w:t>
      </w:r>
      <w:r>
        <w:rPr>
          <w:rFonts w:ascii="calibri" w:hAnsi="calibri" w:eastAsia="calibri" w:cs="calibri"/>
          <w:sz w:val="24"/>
          <w:szCs w:val="24"/>
        </w:rPr>
        <w:t xml:space="preserve">- </w:t>
      </w:r>
      <w:r>
        <w:rPr>
          <w:rFonts w:ascii="calibri" w:hAnsi="calibri" w:eastAsia="calibri" w:cs="calibri"/>
          <w:sz w:val="24"/>
          <w:szCs w:val="24"/>
          <w:b/>
        </w:rPr>
        <w:t xml:space="preserve">mówi Eliška Rezníček Dočkalová, General Manager Waterdrop CEE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7 na 10 europejskich konsumentów woli ekologiczne opakowania i metody produkcji</w:t>
      </w:r>
    </w:p>
    <w:p>
      <w:r>
        <w:rPr>
          <w:rFonts w:ascii="calibri" w:hAnsi="calibri" w:eastAsia="calibri" w:cs="calibri"/>
          <w:sz w:val="24"/>
          <w:szCs w:val="24"/>
        </w:rPr>
        <w:t xml:space="preserve">Istotnym czynnikiem zmian pozostaje również zrównoważony rozwój, </w:t>
      </w:r>
      <w:hyperlink r:id="rId7" w:history="1">
        <w:r>
          <w:rPr>
            <w:rFonts w:ascii="calibri" w:hAnsi="calibri" w:eastAsia="calibri" w:cs="calibri"/>
            <w:color w:val="0000FF"/>
            <w:sz w:val="24"/>
            <w:szCs w:val="24"/>
            <w:u w:val="single"/>
          </w:rPr>
          <w:t xml:space="preserve">73 proc.</w:t>
        </w:r>
      </w:hyperlink>
      <w:r>
        <w:rPr>
          <w:rFonts w:ascii="calibri" w:hAnsi="calibri" w:eastAsia="calibri" w:cs="calibri"/>
          <w:sz w:val="24"/>
          <w:szCs w:val="24"/>
          <w:b/>
        </w:rPr>
        <w:t xml:space="preserve"> europejskich konsumentów preferuje ekologiczne opakowania i metody produkcji</w:t>
      </w:r>
      <w:r>
        <w:rPr>
          <w:rFonts w:ascii="calibri" w:hAnsi="calibri" w:eastAsia="calibri" w:cs="calibri"/>
          <w:sz w:val="24"/>
          <w:szCs w:val="24"/>
        </w:rPr>
        <w:t xml:space="preserve">, co wzmacnia znaczenie rozwiązań takich jak produkcja neutralna pod względem emisji CO₂ czy gospodarka o obiegu zamkniętym. Dodatkowo na dynamikę rynku wpływają czynniki demograficzne i społeczne, w tym urbanizacja, rosnąca rola mediów społecznościowych w kształtowaniu preferencji zakupowych oraz starzejące się społeczeństwo Europy. Zgodnie z </w:t>
      </w:r>
      <w:hyperlink r:id="rId10" w:history="1">
        <w:r>
          <w:rPr>
            <w:rFonts w:ascii="calibri" w:hAnsi="calibri" w:eastAsia="calibri" w:cs="calibri"/>
            <w:color w:val="0000FF"/>
            <w:sz w:val="24"/>
            <w:szCs w:val="24"/>
            <w:u w:val="single"/>
          </w:rPr>
          <w:t xml:space="preserve">danymi</w:t>
        </w:r>
      </w:hyperlink>
      <w:r>
        <w:rPr>
          <w:rFonts w:ascii="calibri" w:hAnsi="calibri" w:eastAsia="calibri" w:cs="calibri"/>
          <w:sz w:val="24"/>
          <w:szCs w:val="24"/>
        </w:rPr>
        <w:t xml:space="preserve"> Światowej Organizacji Zdrowia, </w:t>
      </w:r>
      <w:r>
        <w:rPr>
          <w:rFonts w:ascii="calibri" w:hAnsi="calibri" w:eastAsia="calibri" w:cs="calibri"/>
          <w:sz w:val="24"/>
          <w:szCs w:val="24"/>
          <w:b/>
        </w:rPr>
        <w:t xml:space="preserve">do 2030 roku co szósty człowiek na świecie będzie miał 60 lat lub więcej</w:t>
      </w:r>
      <w:r>
        <w:rPr>
          <w:rFonts w:ascii="calibri" w:hAnsi="calibri" w:eastAsia="calibri" w:cs="calibri"/>
          <w:sz w:val="24"/>
          <w:szCs w:val="24"/>
        </w:rPr>
        <w:t xml:space="preserve">, co zwiększa popyt na produkty wspierające zdrowie i dobre samopoczucie.</w:t>
      </w:r>
    </w:p>
    <w:p>
      <w:pPr>
        <w:spacing w:before="0" w:after="300"/>
      </w:pPr>
      <w:r>
        <w:rPr>
          <w:rFonts w:ascii="calibri" w:hAnsi="calibri" w:eastAsia="calibri" w:cs="calibri"/>
          <w:sz w:val="24"/>
          <w:szCs w:val="24"/>
          <w:b/>
        </w:rPr>
        <w:t xml:space="preserve">Globalna obecność i misja ograniczania plastiku</w:t>
      </w:r>
    </w:p>
    <w:p>
      <w:r>
        <w:rPr>
          <w:rFonts w:ascii="calibri" w:hAnsi="calibri" w:eastAsia="calibri" w:cs="calibri"/>
          <w:sz w:val="24"/>
          <w:szCs w:val="24"/>
        </w:rPr>
        <w:t xml:space="preserve">Waterdrop dąży do zmniejszenia zanieczyszczenia środowiska naturalnego plastikiem poprzez promowanie zrównoważonych nawyków i eliminację jednorazowych butelek. Obecnie Waterdrop dostępny jest w ponad 20 tys. punktach sprzedaży na świecie. Marka wierzy w świat bez plastiku i popularyzuje butelki wielokrotnego użytku oraz rozpuszczalne w wodzie kapsułki smakowe. Ambasadorami oraz inwestorami marki są m.in. Hubert Hurkacz, Jan-Lennard Struff, Yannick Hanfmann, Matteo Arnaldi, Alexander Bublik, Sebastian Korda, Elina Svitolina, Taylor Fritz, Andrey Rublev i Cameron Norrie.</w:t>
      </w:r>
    </w:p>
    <w:p>
      <w:pPr>
        <w:spacing w:before="0" w:after="300"/>
      </w:pPr>
      <w:r>
        <w:rPr>
          <w:rFonts w:ascii="calibri" w:hAnsi="calibri" w:eastAsia="calibri" w:cs="calibri"/>
          <w:sz w:val="24"/>
          <w:szCs w:val="24"/>
        </w:rPr>
        <w:t xml:space="preserve">*Kurs NBP z dnia 20.04.2026, 1 USD = 3,5912 zł </w:t>
      </w:r>
    </w:p>
    <w:p>
      <w:r>
        <w:rPr>
          <w:rFonts w:ascii="calibri" w:hAnsi="calibri" w:eastAsia="calibri" w:cs="calibri"/>
          <w:sz w:val="24"/>
          <w:szCs w:val="24"/>
        </w:rPr>
        <w:t xml:space="preserve">**Badanie zostało przeprowadzone przez markę Waterdrop w lutym 2026 roku wśród 2 412 konsumentów pięciu krajów Europy Środkowo-Wschodniej: Polsce, Rumuni, Czechach, na Słowacji i na Węgrzech.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wideresearch.com/europe-beverage-market/" TargetMode="External"/><Relationship Id="rId8" Type="http://schemas.openxmlformats.org/officeDocument/2006/relationships/hyperlink" Target="https://www.mordorintelligence.com/industry-reports/europe-functional-water-market-" TargetMode="External"/><Relationship Id="rId9" Type="http://schemas.openxmlformats.org/officeDocument/2006/relationships/hyperlink" Target="https://waterdrop.pl/products/microlyte-orange-recharge" TargetMode="External"/><Relationship Id="rId10" Type="http://schemas.openxmlformats.org/officeDocument/2006/relationships/hyperlink" Target="https://www.who.int/news-room/fact-sheets/detail/ageing-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2026-06-05T22:50:41+02:00</dcterms:created>
  <dcterms:modified xsi:type="dcterms:W3CDTF">2026-06-05T22:50:41+02:00</dcterms:modified>
</cp:coreProperties>
</file>

<file path=docProps/custom.xml><?xml version="1.0" encoding="utf-8"?>
<Properties xmlns="http://schemas.openxmlformats.org/officeDocument/2006/custom-properties" xmlns:vt="http://schemas.openxmlformats.org/officeDocument/2006/docPropsVTypes"/>
</file>